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F872" w14:textId="77777777" w:rsidR="00D228D4" w:rsidRDefault="00D228D4" w:rsidP="00E81C06">
      <w:pPr>
        <w:pStyle w:val="NormalWeb"/>
        <w:spacing w:before="0" w:beforeAutospacing="0" w:after="0" w:afterAutospacing="0"/>
        <w:jc w:val="center"/>
      </w:pPr>
      <w:r w:rsidRPr="00D228D4">
        <w:rPr>
          <w:noProof/>
        </w:rPr>
        <w:drawing>
          <wp:anchor distT="0" distB="0" distL="114300" distR="114300" simplePos="0" relativeHeight="251658240" behindDoc="0" locked="0" layoutInCell="1" allowOverlap="1" wp14:anchorId="44515F10" wp14:editId="00B8BC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08166" cy="1343025"/>
            <wp:effectExtent l="0" t="0" r="6985" b="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166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C06">
        <w:rPr>
          <w:rFonts w:ascii="Calibri" w:eastAsia="+mn-ea" w:hAnsi="Calibri" w:cs="+mn-cs"/>
          <w:b/>
          <w:bCs/>
          <w:color w:val="0070C0"/>
          <w:kern w:val="24"/>
          <w:sz w:val="28"/>
          <w:szCs w:val="28"/>
          <w:u w:val="single"/>
        </w:rPr>
        <w:t>MIECHV Data Collection Timing</w:t>
      </w:r>
    </w:p>
    <w:p w14:paraId="588509A6" w14:textId="77777777" w:rsidR="007841F0" w:rsidRPr="00FB104F" w:rsidRDefault="00D228D4" w:rsidP="000820D7">
      <w:pPr>
        <w:pStyle w:val="NormalWeb"/>
        <w:spacing w:before="0" w:beforeAutospacing="0" w:after="0" w:afterAutospacing="0"/>
        <w:jc w:val="both"/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</w:rPr>
        <w:t>The MIECHV Benchmark measures entail collecting data at numerous time points; some measurements are collected at one or more specific timings, and others are collected on an ongoing basis.  This document divides these measures into 2 categories below:</w:t>
      </w:r>
    </w:p>
    <w:p w14:paraId="02D01627" w14:textId="77777777" w:rsidR="00D228D4" w:rsidRDefault="000820D7" w:rsidP="000820D7">
      <w:pPr>
        <w:tabs>
          <w:tab w:val="left" w:pos="709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PlainTable1"/>
        <w:tblW w:w="14220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2" w:space="0" w:color="2F5496" w:themeColor="accent5" w:themeShade="BF"/>
          <w:insideV w:val="single" w:sz="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900"/>
        <w:gridCol w:w="4300"/>
        <w:gridCol w:w="270"/>
        <w:gridCol w:w="3240"/>
        <w:gridCol w:w="3510"/>
      </w:tblGrid>
      <w:tr w:rsidR="001D7F92" w:rsidRPr="00FF2C28" w14:paraId="6CD98292" w14:textId="77777777" w:rsidTr="001D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gridSpan w:val="2"/>
            <w:tcBorders>
              <w:top w:val="nil"/>
              <w:left w:val="nil"/>
              <w:bottom w:val="single" w:sz="12" w:space="0" w:color="2F5496" w:themeColor="accent5" w:themeShade="BF"/>
              <w:right w:val="nil"/>
            </w:tcBorders>
          </w:tcPr>
          <w:p w14:paraId="03EE786A" w14:textId="77777777" w:rsidR="001D7F92" w:rsidRPr="00BC14E5" w:rsidRDefault="001D7F92" w:rsidP="000820D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14E5">
              <w:rPr>
                <w:rFonts w:ascii="Calibri" w:eastAsia="+mn-ea" w:hAnsi="Calibri" w:cs="+mn-cs"/>
                <w:b w:val="0"/>
                <w:color w:val="0070C0"/>
                <w:kern w:val="24"/>
                <w:sz w:val="24"/>
                <w:szCs w:val="24"/>
                <w:u w:val="single"/>
              </w:rPr>
              <w:t>Point-In-Time:</w:t>
            </w:r>
          </w:p>
          <w:p w14:paraId="6E8E2E5C" w14:textId="77777777" w:rsidR="001D7F92" w:rsidRPr="00FF2C28" w:rsidRDefault="001D7F92" w:rsidP="00BC14E5">
            <w:pPr>
              <w:rPr>
                <w:b w:val="0"/>
              </w:rPr>
            </w:pPr>
            <w:r w:rsidRPr="00BC14E5">
              <w:rPr>
                <w:rFonts w:ascii="Calibri" w:eastAsia="+mn-ea" w:hAnsi="Calibri" w:cs="+mn-cs"/>
                <w:b w:val="0"/>
                <w:color w:val="000000"/>
                <w:kern w:val="24"/>
                <w:sz w:val="24"/>
                <w:szCs w:val="24"/>
              </w:rPr>
              <w:t>These measures involve collecting data at one or more specific times.  Once collected, these may not need to be repeated.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956490" w14:textId="77777777" w:rsidR="001D7F92" w:rsidRPr="00BC14E5" w:rsidRDefault="001D7F92" w:rsidP="000820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+mn-ea" w:hAnsi="Calibri" w:cs="+mn-cs"/>
                <w:color w:val="0070C0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12" w:space="0" w:color="2F5496" w:themeColor="accent5" w:themeShade="BF"/>
              <w:right w:val="nil"/>
            </w:tcBorders>
          </w:tcPr>
          <w:p w14:paraId="013FE1A0" w14:textId="77777777" w:rsidR="001D7F92" w:rsidRPr="00BC14E5" w:rsidRDefault="001D7F92" w:rsidP="000820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14E5">
              <w:rPr>
                <w:rFonts w:ascii="Calibri" w:eastAsia="+mn-ea" w:hAnsi="Calibri" w:cs="+mn-cs"/>
                <w:b w:val="0"/>
                <w:color w:val="0070C0"/>
                <w:kern w:val="24"/>
                <w:sz w:val="24"/>
                <w:szCs w:val="24"/>
                <w:u w:val="single"/>
              </w:rPr>
              <w:t>Quarterly:</w:t>
            </w:r>
          </w:p>
          <w:p w14:paraId="0ABF6D87" w14:textId="77777777" w:rsidR="001D7F92" w:rsidRPr="00FF2C28" w:rsidRDefault="001D7F92" w:rsidP="00BC1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14E5">
              <w:rPr>
                <w:rFonts w:ascii="Calibri" w:eastAsia="+mn-ea" w:hAnsi="Calibri" w:cs="+mn-cs"/>
                <w:b w:val="0"/>
                <w:color w:val="000000"/>
                <w:kern w:val="24"/>
                <w:sz w:val="24"/>
                <w:szCs w:val="24"/>
              </w:rPr>
              <w:t>These measures involve collecting data on a quarterly basis.</w:t>
            </w:r>
            <w:r w:rsidRPr="00FF2C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C14E5">
              <w:rPr>
                <w:rFonts w:ascii="Calibri" w:eastAsia="+mn-ea" w:hAnsi="Calibri" w:cs="+mn-cs"/>
                <w:b w:val="0"/>
                <w:color w:val="000000"/>
                <w:kern w:val="24"/>
                <w:sz w:val="24"/>
                <w:szCs w:val="24"/>
              </w:rPr>
              <w:t>Repetition each quarter is expected.</w:t>
            </w:r>
          </w:p>
        </w:tc>
      </w:tr>
      <w:tr w:rsidR="001D7F92" w:rsidRPr="000820D7" w14:paraId="23DAA411" w14:textId="77777777" w:rsidTr="001D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single" w:sz="12" w:space="0" w:color="2F5496" w:themeColor="accent5" w:themeShade="BF"/>
              <w:bottom w:val="nil"/>
            </w:tcBorders>
            <w:shd w:val="clear" w:color="auto" w:fill="2E74B5" w:themeFill="accent1" w:themeFillShade="BF"/>
          </w:tcPr>
          <w:p w14:paraId="6F731F06" w14:textId="77777777" w:rsidR="001D7F92" w:rsidRPr="000820D7" w:rsidRDefault="001D7F92" w:rsidP="00FF2C28">
            <w:pPr>
              <w:jc w:val="center"/>
              <w:rPr>
                <w:color w:val="FFFFFF" w:themeColor="background1"/>
                <w:sz w:val="24"/>
                <w:szCs w:val="24"/>
                <w:u w:val="single"/>
              </w:rPr>
            </w:pPr>
            <w:r w:rsidRPr="000820D7">
              <w:rPr>
                <w:color w:val="FFFFFF" w:themeColor="background1"/>
                <w:sz w:val="24"/>
                <w:szCs w:val="24"/>
                <w:u w:val="single"/>
              </w:rPr>
              <w:t>Measure</w:t>
            </w:r>
          </w:p>
        </w:tc>
        <w:tc>
          <w:tcPr>
            <w:tcW w:w="4300" w:type="dxa"/>
            <w:tcBorders>
              <w:top w:val="single" w:sz="12" w:space="0" w:color="2F5496" w:themeColor="accent5" w:themeShade="BF"/>
              <w:bottom w:val="nil"/>
              <w:right w:val="nil"/>
            </w:tcBorders>
            <w:shd w:val="clear" w:color="auto" w:fill="2E74B5" w:themeFill="accent1" w:themeFillShade="BF"/>
          </w:tcPr>
          <w:p w14:paraId="2E7A14B4" w14:textId="77777777" w:rsidR="001D7F92" w:rsidRPr="000820D7" w:rsidRDefault="001D7F92" w:rsidP="00FF2C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0820D7">
              <w:rPr>
                <w:b/>
                <w:color w:val="FFFFFF" w:themeColor="background1"/>
                <w:sz w:val="24"/>
                <w:szCs w:val="24"/>
                <w:u w:val="single"/>
              </w:rPr>
              <w:t>Description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790A0B" w14:textId="77777777" w:rsidR="001D7F92" w:rsidRPr="000820D7" w:rsidRDefault="001D7F92" w:rsidP="00FF2C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  <w:tcBorders>
              <w:top w:val="single" w:sz="12" w:space="0" w:color="2F5496" w:themeColor="accent5" w:themeShade="BF"/>
              <w:left w:val="nil"/>
              <w:bottom w:val="nil"/>
            </w:tcBorders>
            <w:shd w:val="clear" w:color="auto" w:fill="2E74B5" w:themeFill="accent1" w:themeFillShade="BF"/>
          </w:tcPr>
          <w:p w14:paraId="6A831ADD" w14:textId="77777777" w:rsidR="001D7F92" w:rsidRPr="000820D7" w:rsidRDefault="001D7F92" w:rsidP="00FF2C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0820D7">
              <w:rPr>
                <w:b/>
                <w:color w:val="FFFFFF" w:themeColor="background1"/>
                <w:sz w:val="24"/>
                <w:szCs w:val="24"/>
                <w:u w:val="single"/>
              </w:rPr>
              <w:t>Measure</w:t>
            </w:r>
          </w:p>
        </w:tc>
        <w:tc>
          <w:tcPr>
            <w:tcW w:w="3510" w:type="dxa"/>
            <w:tcBorders>
              <w:top w:val="single" w:sz="12" w:space="0" w:color="2F5496" w:themeColor="accent5" w:themeShade="BF"/>
              <w:bottom w:val="nil"/>
            </w:tcBorders>
            <w:shd w:val="clear" w:color="auto" w:fill="2E74B5" w:themeFill="accent1" w:themeFillShade="BF"/>
          </w:tcPr>
          <w:p w14:paraId="42AA8C71" w14:textId="77777777" w:rsidR="001D7F92" w:rsidRPr="000820D7" w:rsidRDefault="001D7F92" w:rsidP="00FF2C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  <w:r w:rsidRPr="000820D7">
              <w:rPr>
                <w:b/>
                <w:color w:val="FFFFFF" w:themeColor="background1"/>
                <w:sz w:val="24"/>
                <w:szCs w:val="24"/>
                <w:u w:val="single"/>
              </w:rPr>
              <w:t>Description</w:t>
            </w:r>
          </w:p>
        </w:tc>
      </w:tr>
      <w:tr w:rsidR="001D7F92" w:rsidRPr="00BC14E5" w14:paraId="62B620CF" w14:textId="77777777" w:rsidTr="001D7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D4F1ED" w14:textId="77777777" w:rsidR="001D7F92" w:rsidRPr="000820D7" w:rsidRDefault="001D7F92" w:rsidP="00BC14E5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1. Preterm Birth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1CB18" w14:textId="77777777" w:rsidR="001D7F92" w:rsidRPr="000820D7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20D7">
              <w:rPr>
                <w:bCs/>
                <w:sz w:val="24"/>
                <w:szCs w:val="24"/>
              </w:rPr>
              <w:t>After delivery of child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E921D3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3C367C9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4. Well Child Visit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A712C1C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Quarterly for all children</w:t>
            </w:r>
          </w:p>
        </w:tc>
      </w:tr>
      <w:tr w:rsidR="001D7F92" w:rsidRPr="00BC14E5" w14:paraId="5E5B8193" w14:textId="77777777" w:rsidTr="001D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5A21C" w14:textId="77777777" w:rsidR="001D7F92" w:rsidRPr="000820D7" w:rsidRDefault="001D7F92" w:rsidP="00BC14E5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2. Breastfeeding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8B7C7" w14:textId="77777777" w:rsidR="001D7F92" w:rsidRPr="000820D7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20D7">
              <w:rPr>
                <w:sz w:val="24"/>
                <w:szCs w:val="24"/>
              </w:rPr>
              <w:t>At child age 6 months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AF428E" w14:textId="77777777" w:rsidR="001D7F92" w:rsidRPr="00BC14E5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6993353" w14:textId="77777777" w:rsidR="001D7F92" w:rsidRPr="00BC14E5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7. Safe Sleep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E52ED04" w14:textId="77777777" w:rsidR="001D7F92" w:rsidRPr="00BC14E5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Quar</w:t>
            </w:r>
            <w:r>
              <w:rPr>
                <w:bCs/>
              </w:rPr>
              <w:t>terly for children under 1 year</w:t>
            </w:r>
          </w:p>
        </w:tc>
      </w:tr>
      <w:tr w:rsidR="001D7F92" w:rsidRPr="00BC14E5" w14:paraId="31B90CE3" w14:textId="77777777" w:rsidTr="001D7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6DD69" w14:textId="77777777" w:rsidR="001D7F92" w:rsidRPr="000820D7" w:rsidRDefault="001D7F92" w:rsidP="00BC14E5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3. Depression Screen  (EPDS)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8EC66" w14:textId="77777777" w:rsidR="001D7F92" w:rsidRPr="000820D7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20D7">
              <w:rPr>
                <w:sz w:val="24"/>
                <w:szCs w:val="24"/>
              </w:rPr>
              <w:t>Within 3 months of enrollment for postnatal enrollees, and within 3 months of child DOB for prenatal enrollees.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C1C439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19176E8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8. Child Injury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48B5E9A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Quarterly for all children</w:t>
            </w:r>
          </w:p>
        </w:tc>
      </w:tr>
      <w:tr w:rsidR="001D7F92" w:rsidRPr="00BC14E5" w14:paraId="348EC36D" w14:textId="77777777" w:rsidTr="001D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02A1F" w14:textId="77777777" w:rsidR="001D7F92" w:rsidRPr="000820D7" w:rsidRDefault="001D7F92" w:rsidP="00BC14E5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5. Postpartum Care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CAFF2" w14:textId="77777777" w:rsidR="001D7F92" w:rsidRPr="000820D7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20D7">
              <w:rPr>
                <w:sz w:val="24"/>
                <w:szCs w:val="24"/>
              </w:rPr>
              <w:t>Within 8 weeks (56 days) of delivery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8691BC" w14:textId="77777777" w:rsidR="001D7F92" w:rsidRPr="00BC14E5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191A354" w14:textId="77777777" w:rsidR="001D7F92" w:rsidRPr="00BC14E5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11. Early Lang. &amp; Lit. Activities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B3392AC" w14:textId="77777777" w:rsidR="001D7F92" w:rsidRPr="00BC14E5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Quarterly for all children</w:t>
            </w:r>
          </w:p>
        </w:tc>
      </w:tr>
      <w:tr w:rsidR="001D7F92" w:rsidRPr="00BC14E5" w14:paraId="687E7DCC" w14:textId="77777777" w:rsidTr="001D7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BF8A6" w14:textId="77777777" w:rsidR="001D7F92" w:rsidRPr="000820D7" w:rsidRDefault="001D7F92" w:rsidP="00BC14E5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6. Tobacco Cessation Referral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EE027" w14:textId="77777777" w:rsidR="001D7F92" w:rsidRPr="000820D7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20D7">
              <w:rPr>
                <w:sz w:val="24"/>
                <w:szCs w:val="24"/>
              </w:rPr>
              <w:t>Within 3 months of enrollment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DA2EEE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47368D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13. Behavioral Concerns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04B41C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Ev</w:t>
            </w:r>
            <w:r>
              <w:rPr>
                <w:bCs/>
              </w:rPr>
              <w:t>ery home visit for all children</w:t>
            </w:r>
          </w:p>
        </w:tc>
      </w:tr>
      <w:tr w:rsidR="001D7F92" w:rsidRPr="00BC14E5" w14:paraId="700DC7DD" w14:textId="77777777" w:rsidTr="001D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CDD0A" w14:textId="77777777" w:rsidR="001D7F92" w:rsidRPr="000820D7" w:rsidRDefault="001D7F92" w:rsidP="00BC14E5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10. Parent-Child Interaction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A8B1FC" w14:textId="0C1D5AD9" w:rsidR="001D7F92" w:rsidRPr="000820D7" w:rsidRDefault="00931413" w:rsidP="000D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</w:t>
            </w:r>
            <w:r w:rsidR="001D7F92" w:rsidRPr="000820D7">
              <w:rPr>
                <w:sz w:val="24"/>
                <w:szCs w:val="24"/>
              </w:rPr>
              <w:t xml:space="preserve"> least once per annual reporting period</w:t>
            </w:r>
            <w:r>
              <w:rPr>
                <w:sz w:val="24"/>
                <w:szCs w:val="24"/>
              </w:rPr>
              <w:t xml:space="preserve"> for children between 3 and 48 months</w:t>
            </w:r>
            <w:r w:rsidR="001D7F92" w:rsidRPr="000820D7">
              <w:rPr>
                <w:sz w:val="24"/>
                <w:szCs w:val="24"/>
              </w:rPr>
              <w:t xml:space="preserve">. Complete as soon as possible </w:t>
            </w:r>
            <w:r>
              <w:rPr>
                <w:sz w:val="24"/>
                <w:szCs w:val="24"/>
              </w:rPr>
              <w:t>when there is an age eligible index child.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C0D2DB" w14:textId="77777777" w:rsidR="001D7F92" w:rsidRPr="00BC14E5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F66123E" w14:textId="77777777" w:rsidR="001D7F92" w:rsidRPr="00BC14E5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15. Primary Caregiver Education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9D6C9EF" w14:textId="77777777" w:rsidR="001D7F92" w:rsidRPr="00BC14E5" w:rsidRDefault="001D7F92" w:rsidP="00BC1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Qu</w:t>
            </w:r>
            <w:r>
              <w:rPr>
                <w:bCs/>
              </w:rPr>
              <w:t>arterly for eligible caregivers</w:t>
            </w:r>
          </w:p>
        </w:tc>
      </w:tr>
      <w:tr w:rsidR="001D7F92" w:rsidRPr="00BC14E5" w14:paraId="50727D6B" w14:textId="77777777" w:rsidTr="001D7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954A8" w14:textId="77777777" w:rsidR="001D7F92" w:rsidRPr="000820D7" w:rsidRDefault="001D7F92" w:rsidP="00BC14E5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12. Developmental Screening</w:t>
            </w:r>
          </w:p>
          <w:p w14:paraId="6FF1961B" w14:textId="77777777" w:rsidR="001D7F92" w:rsidRPr="000820D7" w:rsidRDefault="001D7F92" w:rsidP="00BC14E5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 xml:space="preserve">      (ASQ or BINS)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88B49" w14:textId="77777777" w:rsidR="001D7F92" w:rsidRPr="000820D7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20D7">
              <w:rPr>
                <w:sz w:val="24"/>
                <w:szCs w:val="24"/>
              </w:rPr>
              <w:t>At child age 9mo, 18mo, and 24mo.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A44491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2E72860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16. Continuity of Insurance Coverage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904991B" w14:textId="77777777" w:rsidR="001D7F92" w:rsidRPr="00BC14E5" w:rsidRDefault="001D7F92" w:rsidP="00BC1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C14E5">
              <w:rPr>
                <w:bCs/>
              </w:rPr>
              <w:t>Quarterly for all caregiv</w:t>
            </w:r>
            <w:r>
              <w:rPr>
                <w:bCs/>
              </w:rPr>
              <w:t>ers</w:t>
            </w:r>
          </w:p>
        </w:tc>
      </w:tr>
      <w:tr w:rsidR="001D7F92" w:rsidRPr="00BC14E5" w14:paraId="54E5A82C" w14:textId="77777777" w:rsidTr="001D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25F31" w14:textId="77777777" w:rsidR="001D7F92" w:rsidRPr="000820D7" w:rsidRDefault="001D7F92" w:rsidP="002F3AEF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14. IPV Screening  (</w:t>
            </w:r>
            <w:r w:rsidR="002F3AEF">
              <w:rPr>
                <w:b w:val="0"/>
                <w:sz w:val="24"/>
                <w:szCs w:val="24"/>
              </w:rPr>
              <w:t>WEB</w:t>
            </w:r>
            <w:r w:rsidRPr="000820D7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AB52A" w14:textId="77777777" w:rsidR="001D7F92" w:rsidRPr="000820D7" w:rsidRDefault="001D7F92" w:rsidP="0013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20D7">
              <w:rPr>
                <w:sz w:val="24"/>
                <w:szCs w:val="24"/>
              </w:rPr>
              <w:t>Within 6 months of enrollment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14E859" w14:textId="77777777" w:rsidR="001D7F92" w:rsidRDefault="001D7F92" w:rsidP="0013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A225AE1" w14:textId="77777777" w:rsidR="001D7F92" w:rsidRPr="00BC14E5" w:rsidRDefault="001D7F92" w:rsidP="0013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Special Case #1 – IPV Safety Plan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3051439" w14:textId="77777777" w:rsidR="001D7F92" w:rsidRPr="00BC14E5" w:rsidRDefault="001D7F92" w:rsidP="0013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Within 30 days of positive screen</w:t>
            </w:r>
          </w:p>
        </w:tc>
      </w:tr>
      <w:tr w:rsidR="001D7F92" w:rsidRPr="00BC14E5" w14:paraId="48867D25" w14:textId="77777777" w:rsidTr="001D7F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1752E" w14:textId="77777777" w:rsidR="001D7F92" w:rsidRPr="000820D7" w:rsidRDefault="001D7F92" w:rsidP="000820D7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17. Completed Depression            Referral  (EPDS)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A92D57" w14:textId="77777777" w:rsidR="001D7F92" w:rsidRPr="000820D7" w:rsidRDefault="001D7F92" w:rsidP="00137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20D7">
              <w:rPr>
                <w:sz w:val="24"/>
                <w:szCs w:val="24"/>
              </w:rPr>
              <w:t>Within 60 days of referral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3D5552" w14:textId="77777777" w:rsidR="001D7F92" w:rsidRDefault="001D7F92" w:rsidP="00137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CFF0827" w14:textId="77777777" w:rsidR="001D7F92" w:rsidRPr="00BC14E5" w:rsidRDefault="001D7F92" w:rsidP="00137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Special Case #2 – Substance Abuse Screening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EE88015" w14:textId="77777777" w:rsidR="001D7F92" w:rsidRPr="00BC14E5" w:rsidRDefault="001D7F92" w:rsidP="00137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Within 6 months of enrollment</w:t>
            </w:r>
          </w:p>
        </w:tc>
      </w:tr>
      <w:tr w:rsidR="001D7F92" w:rsidRPr="00BC14E5" w14:paraId="10F1933B" w14:textId="77777777" w:rsidTr="001D7F9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D446" w14:textId="77777777" w:rsidR="001D7F92" w:rsidRPr="000820D7" w:rsidRDefault="001D7F92" w:rsidP="001375FD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18. Completed Developmental Referral  (ASQ or BINS)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B677C" w14:textId="77777777" w:rsidR="001D7F92" w:rsidRPr="000820D7" w:rsidRDefault="001D7F92" w:rsidP="0013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20D7">
              <w:rPr>
                <w:sz w:val="24"/>
                <w:szCs w:val="24"/>
              </w:rPr>
              <w:t>Within 30 days of referral for support from home visitor or other community services, and within 45 days of referral for early intervention services.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0DC2A9" w14:textId="77777777" w:rsidR="001D7F92" w:rsidRPr="000820D7" w:rsidRDefault="001D7F92" w:rsidP="0013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7F92" w:rsidRPr="00BC14E5" w14:paraId="6BA65B3C" w14:textId="77777777" w:rsidTr="001D7F92">
        <w:trPr>
          <w:gridAfter w:val="2"/>
          <w:wAfter w:w="67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9FD00" w14:textId="77777777" w:rsidR="001D7F92" w:rsidRPr="000820D7" w:rsidRDefault="001D7F92" w:rsidP="002F3AEF">
            <w:pPr>
              <w:rPr>
                <w:b w:val="0"/>
                <w:sz w:val="24"/>
                <w:szCs w:val="24"/>
              </w:rPr>
            </w:pPr>
            <w:r w:rsidRPr="000820D7">
              <w:rPr>
                <w:b w:val="0"/>
                <w:sz w:val="24"/>
                <w:szCs w:val="24"/>
              </w:rPr>
              <w:t>19. IPV Referral (</w:t>
            </w:r>
            <w:r w:rsidR="002F3AEF">
              <w:rPr>
                <w:b w:val="0"/>
                <w:sz w:val="24"/>
                <w:szCs w:val="24"/>
              </w:rPr>
              <w:t>WEB</w:t>
            </w:r>
            <w:r w:rsidRPr="000820D7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BB62C" w14:textId="77777777" w:rsidR="001D7F92" w:rsidRPr="000820D7" w:rsidRDefault="001D7F92" w:rsidP="00137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20D7">
              <w:rPr>
                <w:sz w:val="24"/>
                <w:szCs w:val="24"/>
              </w:rPr>
              <w:t>Within 30 days of screening.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68B9A3" w14:textId="77777777" w:rsidR="001D7F92" w:rsidRPr="000820D7" w:rsidRDefault="001D7F92" w:rsidP="00137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806EF66" w14:textId="77777777" w:rsidR="002F3AEF" w:rsidRDefault="002F3AEF" w:rsidP="00847317"/>
    <w:p w14:paraId="6D1B1DC1" w14:textId="77777777" w:rsidR="00847317" w:rsidRPr="002F3AEF" w:rsidRDefault="00847317" w:rsidP="002F3AEF"/>
    <w:sectPr w:rsidR="00847317" w:rsidRPr="002F3AEF" w:rsidSect="000820D7">
      <w:footerReference w:type="default" r:id="rId8"/>
      <w:pgSz w:w="15840" w:h="12240" w:orient="landscape"/>
      <w:pgMar w:top="360" w:right="720" w:bottom="27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2E5E" w14:textId="77777777" w:rsidR="00FF2C28" w:rsidRDefault="00FF2C28" w:rsidP="00FF2C28">
      <w:pPr>
        <w:spacing w:after="0" w:line="240" w:lineRule="auto"/>
      </w:pPr>
      <w:r>
        <w:separator/>
      </w:r>
    </w:p>
  </w:endnote>
  <w:endnote w:type="continuationSeparator" w:id="0">
    <w:p w14:paraId="00E45BB8" w14:textId="77777777" w:rsidR="00FF2C28" w:rsidRDefault="00FF2C28" w:rsidP="00FF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79D2" w14:textId="77777777" w:rsidR="000D7FFA" w:rsidRDefault="000D7FFA" w:rsidP="000D7FFA">
    <w:pPr>
      <w:pStyle w:val="Footer"/>
      <w:jc w:val="center"/>
    </w:pPr>
    <w:r>
      <w:t xml:space="preserve">Version date </w:t>
    </w:r>
    <w:r w:rsidR="002F3AEF">
      <w:t>5/22/18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5CB0" w14:textId="77777777" w:rsidR="00FF2C28" w:rsidRDefault="00FF2C28" w:rsidP="00FF2C28">
      <w:pPr>
        <w:spacing w:after="0" w:line="240" w:lineRule="auto"/>
      </w:pPr>
      <w:r>
        <w:separator/>
      </w:r>
    </w:p>
  </w:footnote>
  <w:footnote w:type="continuationSeparator" w:id="0">
    <w:p w14:paraId="6DA77C1A" w14:textId="77777777" w:rsidR="00FF2C28" w:rsidRDefault="00FF2C28" w:rsidP="00FF2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D4"/>
    <w:rsid w:val="000820D7"/>
    <w:rsid w:val="000D7FFA"/>
    <w:rsid w:val="001375FD"/>
    <w:rsid w:val="001D7F92"/>
    <w:rsid w:val="002F3AEF"/>
    <w:rsid w:val="007841F0"/>
    <w:rsid w:val="00847317"/>
    <w:rsid w:val="00931413"/>
    <w:rsid w:val="00BC14E5"/>
    <w:rsid w:val="00D228D4"/>
    <w:rsid w:val="00D676C3"/>
    <w:rsid w:val="00E81C06"/>
    <w:rsid w:val="00FB104F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30C52E"/>
  <w15:chartTrackingRefBased/>
  <w15:docId w15:val="{82FB44F5-5C5F-407F-8C79-859F737D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2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8"/>
  </w:style>
  <w:style w:type="paragraph" w:styleId="Footer">
    <w:name w:val="footer"/>
    <w:basedOn w:val="Normal"/>
    <w:link w:val="FooterChar"/>
    <w:uiPriority w:val="99"/>
    <w:unhideWhenUsed/>
    <w:rsid w:val="00FF2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8"/>
  </w:style>
  <w:style w:type="table" w:styleId="PlainTable1">
    <w:name w:val="Plain Table 1"/>
    <w:basedOn w:val="TableNormal"/>
    <w:uiPriority w:val="41"/>
    <w:rsid w:val="00FF2C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70A8-DE70-4C2B-9269-1670F70C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Sarah A</dc:creator>
  <cp:keywords/>
  <dc:description/>
  <cp:lastModifiedBy>Hernandez, Sarah A</cp:lastModifiedBy>
  <cp:revision>2</cp:revision>
  <dcterms:created xsi:type="dcterms:W3CDTF">2023-01-31T16:53:00Z</dcterms:created>
  <dcterms:modified xsi:type="dcterms:W3CDTF">2023-01-31T16:53:00Z</dcterms:modified>
</cp:coreProperties>
</file>